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A3A5F"/>
          <w:spacing w:val="80"/>
          <w:sz w:val="24"/>
          <w:szCs w:val="24"/>
        </w:rPr>
        <w:t xml:space="preserve">SINDCOB</w:t>
      </w:r>
    </w:p>
    <w:p>
      <w:pPr>
        <w:pBdr>
          <w:bottom w:val="single" w:color="C69A52" w:sz="16" w:space="1"/>
        </w:pBdr>
        <w:spacing w:after="200"/>
      </w:pPr>
      <w:r>
        <w:rPr>
          <w:sz w:val="2"/>
          <w:szCs w:val="2"/>
        </w:rPr>
        <w:t xml:space="preserve"/>
      </w:r>
    </w:p>
    <w:p>
      <w:pPr>
        <w:spacing w:after="60" w:before="60"/>
      </w:pPr>
      <w:r>
        <w:rPr>
          <w:b/>
          <w:bCs/>
          <w:color w:val="1A3A5F"/>
          <w:sz w:val="36"/>
          <w:szCs w:val="36"/>
        </w:rPr>
        <w:t xml:space="preserve">Regulamento Eleitoral da Assembleia de Fundação</w:t>
      </w:r>
    </w:p>
    <w:p>
      <w:pPr>
        <w:spacing w:after="60" w:line="276"/>
      </w:pPr>
      <w:r>
        <w:rPr>
          <w:color w:val="4A5868"/>
          <w:sz w:val="21"/>
          <w:szCs w:val="21"/>
        </w:rPr>
        <w:t xml:space="preserve">Sindicato Nacional dos Correspondentes Bancários — SINDCOB · Comissão Pró-Fundação</w:t>
      </w:r>
    </w:p>
    <w:p>
      <w:pPr>
        <w:spacing w:after="160" w:line="276"/>
      </w:pPr>
      <w:r>
        <w:rPr>
          <w:color w:val="222222"/>
          <w:sz w:val="21"/>
          <w:szCs w:val="21"/>
        </w:rPr>
        <w:t xml:space="preserve">Eleição da primeira Diretoria Executiva Nacional e do primeiro Conselho Fiscal Nacional · 15 de junho de 2026</w:t>
      </w:r>
    </w:p>
    <w:p>
      <w:pPr>
        <w:pBdr>
          <w:left w:val="single" w:color="C69A52" w:sz="18" w:space="8"/>
        </w:pBdr>
        <w:shd w:fill="F3F0E9" w:val="clear"/>
        <w:spacing w:after="140" w:before="60" w:line="264"/>
        <w:ind w:left="200"/>
      </w:pPr>
      <w:r>
        <w:rPr>
          <w:b/>
          <w:bCs/>
          <w:color w:val="1A3A5F"/>
          <w:sz w:val="19"/>
          <w:szCs w:val="19"/>
        </w:rPr>
        <w:t xml:space="preserve">Documento de trabalho. </w:t>
      </w:r>
      <w:r>
        <w:rPr>
          <w:i/>
          <w:iCs/>
          <w:color w:val="4A5868"/>
          <w:sz w:val="19"/>
          <w:szCs w:val="19"/>
        </w:rPr>
        <w:t xml:space="preserve">Operacionaliza o Art. 80, V do estatuto e a ele se subordina. Não é parecer jurídico — a Dra. Rafaela Santa Chiara e a Dra. Talita Leite Fernandes devem validar a compatibilidade com o estatuto e com a Portaria MTE 3.472/2023 antes de aprovar. Itens entre colchetes [ ] dependem de definição.</w:t>
      </w:r>
    </w:p>
    <w:p>
      <w:pPr>
        <w:spacing w:after="40" w:before="120"/>
      </w:pPr>
      <w:r>
        <w:rPr>
          <w:b/>
          <w:bCs/>
          <w:color w:val="C69A52"/>
          <w:spacing w:val="40"/>
          <w:sz w:val="17"/>
          <w:szCs w:val="17"/>
        </w:rPr>
        <w:t xml:space="preserve">FUNDAMENTO E ALCANCE</w:t>
      </w:r>
    </w:p>
    <w:p>
      <w:pPr>
        <w:pStyle w:val="Heading1"/>
        <w:spacing w:after="60" w:before="340"/>
      </w:pPr>
      <w:r>
        <w:rPr>
          <w:b/>
          <w:bCs/>
          <w:color w:val="1A3A5F"/>
        </w:rPr>
        <w:t xml:space="preserve">Disposições preliminares</w:t>
      </w:r>
    </w:p>
    <w:p>
      <w:pPr>
        <w:pBdr>
          <w:bottom w:val="single" w:color="C69A52" w:sz="16" w:space="1"/>
        </w:pBdr>
        <w:spacing w:after="200"/>
      </w:pPr>
      <w:r>
        <w:rPr>
          <w:sz w:val="2"/>
          <w:szCs w:val="2"/>
        </w:rPr>
        <w:t xml:space="preserve"/>
      </w:r>
    </w:p>
    <w:p>
      <w:pPr>
        <w:spacing w:after="120" w:line="276"/>
      </w:pPr>
      <w:r>
        <w:rPr>
          <w:b/>
          <w:bCs/>
          <w:color w:val="1A3A5F"/>
          <w:sz w:val="21"/>
          <w:szCs w:val="21"/>
        </w:rPr>
        <w:t xml:space="preserve">Art. 1º </w:t>
      </w:r>
      <w:r>
        <w:rPr>
          <w:color w:val="222222"/>
          <w:sz w:val="21"/>
          <w:szCs w:val="21"/>
        </w:rPr>
        <w:t xml:space="preserve">Este regulamento rege, com fundamento no Art. 80, inciso V, das Disposições Transitórias do estatuto, a eleição da primeira Diretoria Executiva Nacional e do primeiro Conselho Fiscal Nacional, na Assembleia Geral de Fundação de 15 de junho de 2026, sendo submetido à aprovação dos fundadores na abertura dos trabalhos.</w:t>
      </w:r>
    </w:p>
    <w:p>
      <w:pPr>
        <w:spacing w:after="100" w:line="276"/>
        <w:ind w:left="360"/>
      </w:pPr>
      <w:r>
        <w:rPr>
          <w:i/>
          <w:iCs/>
          <w:color w:val="4A5868"/>
          <w:sz w:val="21"/>
          <w:szCs w:val="21"/>
        </w:rPr>
        <w:t xml:space="preserve">Parágrafo único. </w:t>
      </w:r>
      <w:r>
        <w:rPr>
          <w:color w:val="222222"/>
          <w:sz w:val="21"/>
          <w:szCs w:val="21"/>
        </w:rPr>
        <w:t xml:space="preserve">Prevalecem sobre este regulamento o estatuto e suas Disposições Transitórias. No que com eles conflitar, aplicam-se o estatuto e o Art. 80.</w:t>
      </w:r>
    </w:p>
    <w:p>
      <w:pPr>
        <w:pStyle w:val="Heading2"/>
        <w:spacing w:after="100" w:before="260"/>
      </w:pPr>
      <w:r>
        <w:rPr>
          <w:b/>
          <w:bCs/>
          <w:color w:val="1A3A5F"/>
        </w:rPr>
        <w:t xml:space="preserve">Capítulo I — Da forma da eleição</w:t>
      </w:r>
    </w:p>
    <w:p>
      <w:pPr>
        <w:spacing w:after="120" w:line="276"/>
      </w:pPr>
      <w:r>
        <w:rPr>
          <w:b/>
          <w:bCs/>
          <w:color w:val="1A3A5F"/>
          <w:sz w:val="21"/>
          <w:szCs w:val="21"/>
        </w:rPr>
        <w:t xml:space="preserve">Art. 2º </w:t>
      </w:r>
      <w:r>
        <w:rPr>
          <w:color w:val="222222"/>
          <w:sz w:val="21"/>
          <w:szCs w:val="21"/>
        </w:rPr>
        <w:t xml:space="preserve">A eleição far-se-á por chapa completa e fechada ou, havendo chapa única homologada, por aclamação, na forma do Art. 80, V do estatuto. É vedada a votação por cargo isolado e a composição de chapa durante a sessão, ressalvada a janela do Art. 7º.</w:t>
      </w:r>
    </w:p>
    <w:p>
      <w:pPr>
        <w:spacing w:after="120" w:line="276"/>
      </w:pPr>
      <w:r>
        <w:rPr>
          <w:b/>
          <w:bCs/>
          <w:color w:val="1A3A5F"/>
          <w:sz w:val="21"/>
          <w:szCs w:val="21"/>
        </w:rPr>
        <w:t xml:space="preserve">Art. 3º </w:t>
      </w:r>
      <w:r>
        <w:rPr>
          <w:color w:val="222222"/>
          <w:sz w:val="21"/>
          <w:szCs w:val="21"/>
        </w:rPr>
        <w:t xml:space="preserve">Cada chapa indicará, nominalmente, candidatos para todos os cargos eletivos: Presidente; Vice-Presidente (que acumula as funções de Diretor Administrativo e Financeiro); Diretor Jurídico; Diretor de Relações Institucionais e Assessoramento Parlamentar; Diretor de Comunicação, Mobilização e Formação; três Diretores suplentes; e, para o Conselho Fiscal Nacional, três membros titulares e dois suplentes.</w:t>
      </w:r>
    </w:p>
    <w:p>
      <w:pPr>
        <w:spacing w:after="100" w:line="276"/>
        <w:ind w:left="360"/>
      </w:pPr>
      <w:r>
        <w:rPr>
          <w:i/>
          <w:iCs/>
          <w:color w:val="4A5868"/>
          <w:sz w:val="21"/>
          <w:szCs w:val="21"/>
        </w:rPr>
        <w:t xml:space="preserve">Parágrafo único. </w:t>
      </w:r>
      <w:r>
        <w:rPr>
          <w:color w:val="222222"/>
          <w:sz w:val="21"/>
          <w:szCs w:val="21"/>
        </w:rPr>
        <w:t xml:space="preserve">A designação dos cargos é feita na própria chapa, previamente à eleição, vedada alteração após a posse, ressalvada vacância (Art. 24, parágrafo único, do estatuto).</w:t>
      </w:r>
    </w:p>
    <w:p>
      <w:pPr>
        <w:pStyle w:val="Heading2"/>
        <w:spacing w:after="100" w:before="260"/>
      </w:pPr>
      <w:r>
        <w:rPr>
          <w:b/>
          <w:bCs/>
          <w:color w:val="1A3A5F"/>
        </w:rPr>
        <w:t xml:space="preserve">Capítulo II — Da elegibilidade</w:t>
      </w:r>
    </w:p>
    <w:p>
      <w:pPr>
        <w:spacing w:after="120" w:line="276"/>
      </w:pPr>
      <w:r>
        <w:rPr>
          <w:b/>
          <w:bCs/>
          <w:color w:val="1A3A5F"/>
          <w:sz w:val="21"/>
          <w:szCs w:val="21"/>
        </w:rPr>
        <w:t xml:space="preserve">Art. 4º </w:t>
      </w:r>
      <w:r>
        <w:rPr>
          <w:color w:val="222222"/>
          <w:sz w:val="21"/>
          <w:szCs w:val="21"/>
        </w:rPr>
        <w:t xml:space="preserve">Pode ser candidato o sócio, administrador ou titular de empresa fundadora credenciada e habilitada a voto, que exerça efetivamente a atividade econômica de correspondente bancário na base territorial do SINDCOB (Art. 68, IV do estatuto) e que não tenha sido condenado por crime doloso enquanto persistirem os efeitos da pena (Art. 68, V do estatuto e Art. 530 da CLT).</w:t>
      </w:r>
    </w:p>
    <w:p>
      <w:pPr>
        <w:spacing w:after="100" w:line="276"/>
        <w:ind w:left="360"/>
      </w:pPr>
      <w:r>
        <w:rPr>
          <w:i/>
          <w:iCs/>
          <w:color w:val="4A5868"/>
          <w:sz w:val="21"/>
          <w:szCs w:val="21"/>
        </w:rPr>
        <w:t xml:space="preserve">§ 1º </w:t>
      </w:r>
      <w:r>
        <w:rPr>
          <w:color w:val="222222"/>
          <w:sz w:val="21"/>
          <w:szCs w:val="21"/>
        </w:rPr>
        <w:t xml:space="preserve">O procurador com poderes pode votar em nome da empresa, mas não pode ser candidato, por não estar, em si, no exercício efetivo da atividade econômica exigido para o mandato.</w:t>
      </w:r>
    </w:p>
    <w:p>
      <w:pPr>
        <w:spacing w:after="100" w:line="276"/>
        <w:ind w:left="360"/>
      </w:pPr>
      <w:r>
        <w:rPr>
          <w:i/>
          <w:iCs/>
          <w:color w:val="4A5868"/>
          <w:sz w:val="21"/>
          <w:szCs w:val="21"/>
        </w:rPr>
        <w:t xml:space="preserve">§ 2º </w:t>
      </w:r>
      <w:r>
        <w:rPr>
          <w:color w:val="222222"/>
          <w:sz w:val="21"/>
          <w:szCs w:val="21"/>
        </w:rPr>
        <w:t xml:space="preserve">Ficam dispensados, exclusivamente para esta eleição de fundação, os requisitos de tempo mínimo de filiação do Art. 68, incisos I e II, por inexistirem à data da fundação, em coerência com a lógica do Art. 82 do estatuto. </w:t>
      </w:r>
      <w:r>
        <w:rPr>
          <w:i/>
          <w:iCs/>
          <w:color w:val="8A9098"/>
          <w:sz w:val="21"/>
          <w:szCs w:val="21"/>
        </w:rPr>
        <w:t xml:space="preserve">[ver ajuste proposto ao estatuto, ao final]</w:t>
      </w:r>
    </w:p>
    <w:p>
      <w:pPr>
        <w:spacing w:after="100" w:line="276"/>
        <w:ind w:left="360"/>
      </w:pPr>
      <w:r>
        <w:rPr>
          <w:i/>
          <w:iCs/>
          <w:color w:val="4A5868"/>
          <w:sz w:val="21"/>
          <w:szCs w:val="21"/>
        </w:rPr>
        <w:t xml:space="preserve">§ 3º </w:t>
      </w:r>
      <w:r>
        <w:rPr>
          <w:color w:val="222222"/>
          <w:sz w:val="21"/>
          <w:szCs w:val="21"/>
        </w:rPr>
        <w:t xml:space="preserve">Não pode ser candidato quem incorra em qualquer impedimento do Art. 530 da CLT — contas de administração não aprovadas, lesão a patrimônio de entidade sindical, condenação por crime doloso enquanto durarem os efeitos da pena, ou ausência de gozo dos direitos políticos —, declarando cada candidato, por escrito, não incidir em tais impedimentos.</w:t>
      </w:r>
    </w:p>
    <w:p>
      <w:pPr>
        <w:spacing w:after="100" w:line="276"/>
        <w:ind w:left="360"/>
      </w:pPr>
      <w:r>
        <w:rPr>
          <w:i/>
          <w:iCs/>
          <w:color w:val="4A5868"/>
          <w:sz w:val="21"/>
          <w:szCs w:val="21"/>
        </w:rPr>
        <w:t xml:space="preserve">§ 4º </w:t>
      </w:r>
      <w:r>
        <w:rPr>
          <w:color w:val="222222"/>
          <w:sz w:val="21"/>
          <w:szCs w:val="21"/>
        </w:rPr>
        <w:t xml:space="preserve">Uma mesma empresa e um mesmo representante não integram mais de uma chapa. É vedada candidatura simultânea, na mesma eleição, de parentes até o terceiro grau civil a cargos da Diretoria e do Conselho Fiscal (Art. 45, § 4º do estatuto).</w:t>
      </w:r>
    </w:p>
    <w:p>
      <w:pPr>
        <w:pStyle w:val="Heading2"/>
        <w:spacing w:after="100" w:before="260"/>
      </w:pPr>
      <w:r>
        <w:rPr>
          <w:b/>
          <w:bCs/>
          <w:color w:val="1A3A5F"/>
        </w:rPr>
        <w:t xml:space="preserve">Capítulo III — Do registro de chapas</w:t>
      </w:r>
    </w:p>
    <w:p>
      <w:pPr>
        <w:spacing w:after="120" w:line="276"/>
      </w:pPr>
      <w:r>
        <w:rPr>
          <w:b/>
          <w:bCs/>
          <w:color w:val="1A3A5F"/>
          <w:sz w:val="21"/>
          <w:szCs w:val="21"/>
        </w:rPr>
        <w:t xml:space="preserve">Art. 5º </w:t>
      </w:r>
      <w:r>
        <w:rPr>
          <w:color w:val="222222"/>
          <w:sz w:val="21"/>
          <w:szCs w:val="21"/>
        </w:rPr>
        <w:t xml:space="preserve">O registro de chapas encerra-se em </w:t>
      </w:r>
      <w:r>
        <w:rPr>
          <w:b/>
          <w:bCs/>
          <w:color w:val="222222"/>
          <w:sz w:val="21"/>
          <w:szCs w:val="21"/>
        </w:rPr>
        <w:t xml:space="preserve">12 de junho de 2026 (sexta-feira), às 18h00</w:t>
      </w:r>
      <w:r>
        <w:rPr>
          <w:color w:val="222222"/>
          <w:sz w:val="21"/>
          <w:szCs w:val="21"/>
        </w:rPr>
        <w:t xml:space="preserve">, respeitada a antecedência mínima de 48 (quarenta e oito) horas em relação à assembleia, mediante protocolo do requerimento junto à Comissão Pró-Fundação pelo e-mail sindcob.nacional@gmail.com.</w:t>
      </w:r>
    </w:p>
    <w:p>
      <w:pPr>
        <w:spacing w:after="120" w:line="276"/>
      </w:pPr>
      <w:r>
        <w:rPr>
          <w:b/>
          <w:bCs/>
          <w:color w:val="1A3A5F"/>
          <w:sz w:val="21"/>
          <w:szCs w:val="21"/>
        </w:rPr>
        <w:t xml:space="preserve">Art. 6º </w:t>
      </w:r>
      <w:r>
        <w:rPr>
          <w:color w:val="222222"/>
          <w:sz w:val="21"/>
          <w:szCs w:val="21"/>
        </w:rPr>
        <w:t xml:space="preserve">O requerimento de registro conterá: nome ou número da chapa; relação dos cargos com o nome de cada candidato; para cada candidato, CPF, empresa que representa, CNPJ e qualidade (sócio, administrador ou titular); declaração de elegibilidade e de não incidência no Art. 530 da CLT; assinatura de todos os candidatos; e indicação de um representante da chapa para acompanhar a homologação.</w:t>
      </w:r>
    </w:p>
    <w:p>
      <w:pPr>
        <w:pStyle w:val="Heading2"/>
        <w:spacing w:after="100" w:before="260"/>
      </w:pPr>
      <w:r>
        <w:rPr>
          <w:b/>
          <w:bCs/>
          <w:color w:val="1A3A5F"/>
        </w:rPr>
        <w:t xml:space="preserve">Capítulo IV — Da janela excepcional</w:t>
      </w:r>
    </w:p>
    <w:p>
      <w:pPr>
        <w:spacing w:after="120" w:line="276"/>
      </w:pPr>
      <w:r>
        <w:rPr>
          <w:b/>
          <w:bCs/>
          <w:color w:val="1A3A5F"/>
          <w:sz w:val="21"/>
          <w:szCs w:val="21"/>
        </w:rPr>
        <w:t xml:space="preserve">Art. 7º </w:t>
      </w:r>
      <w:r>
        <w:rPr>
          <w:color w:val="222222"/>
          <w:sz w:val="21"/>
          <w:szCs w:val="21"/>
        </w:rPr>
        <w:t xml:space="preserve">Excepcionalmente, na abertura da sessão eleitoral, a Comissão Pró-Fundação poderá admitir o registro de nova chapa ou a complementação de chapa já protocolada, mediante justificativa escrita do motivo da intempestividade e aprovação da Comissão. A janela releva apenas o prazo, não dispensando qualquer requisito de elegibilidade ou de documentação. Encerrada a janela, não se admite novo registro nem alteração.</w:t>
      </w:r>
    </w:p>
    <w:p>
      <w:pPr>
        <w:pStyle w:val="Heading2"/>
        <w:spacing w:after="100" w:before="260"/>
      </w:pPr>
      <w:r>
        <w:rPr>
          <w:b/>
          <w:bCs/>
          <w:color w:val="1A3A5F"/>
        </w:rPr>
        <w:t xml:space="preserve">Capítulo V — Da homologação e da impugnação</w:t>
      </w:r>
    </w:p>
    <w:p>
      <w:pPr>
        <w:spacing w:after="120" w:line="276"/>
      </w:pPr>
      <w:r>
        <w:rPr>
          <w:b/>
          <w:bCs/>
          <w:color w:val="1A3A5F"/>
          <w:sz w:val="21"/>
          <w:szCs w:val="21"/>
        </w:rPr>
        <w:t xml:space="preserve">Art. 8º </w:t>
      </w:r>
      <w:r>
        <w:rPr>
          <w:color w:val="222222"/>
          <w:sz w:val="21"/>
          <w:szCs w:val="21"/>
        </w:rPr>
        <w:t xml:space="preserve">A Comissão Pró-Fundação analisará e homologará as chapas regulares antes do início da votação, conferindo o credenciamento e a documentação de cada candidato e empresa.</w:t>
      </w:r>
    </w:p>
    <w:p>
      <w:pPr>
        <w:spacing w:after="120" w:line="276"/>
      </w:pPr>
      <w:r>
        <w:rPr>
          <w:b/>
          <w:bCs/>
          <w:color w:val="1A3A5F"/>
          <w:sz w:val="21"/>
          <w:szCs w:val="21"/>
        </w:rPr>
        <w:t xml:space="preserve">Art. 9º </w:t>
      </w:r>
      <w:r>
        <w:rPr>
          <w:color w:val="222222"/>
          <w:sz w:val="21"/>
          <w:szCs w:val="21"/>
        </w:rPr>
        <w:t xml:space="preserve">Irregularidade sanável será notificada para correção até a abertura da votação; irregularidade insanável implica indeferimento, com o motivo registrado em ata.</w:t>
      </w:r>
    </w:p>
    <w:p>
      <w:pPr>
        <w:spacing w:after="120" w:line="276"/>
      </w:pPr>
      <w:r>
        <w:rPr>
          <w:b/>
          <w:bCs/>
          <w:color w:val="1A3A5F"/>
          <w:sz w:val="21"/>
          <w:szCs w:val="21"/>
        </w:rPr>
        <w:t xml:space="preserve">Art. 10 </w:t>
      </w:r>
      <w:r>
        <w:rPr>
          <w:color w:val="222222"/>
          <w:sz w:val="21"/>
          <w:szCs w:val="21"/>
        </w:rPr>
        <w:t xml:space="preserve">As chapas homologadas serão divulgadas aos fundadores presentes, abrindo-se prazo de </w:t>
      </w:r>
      <w:r>
        <w:rPr>
          <w:b/>
          <w:bCs/>
          <w:color w:val="222222"/>
          <w:sz w:val="21"/>
          <w:szCs w:val="21"/>
        </w:rPr>
        <w:t xml:space="preserve">30 (trinta) minutos</w:t>
      </w:r>
      <w:r>
        <w:rPr>
          <w:color w:val="222222"/>
          <w:sz w:val="21"/>
          <w:szCs w:val="21"/>
        </w:rPr>
        <w:t xml:space="preserve"> para impugnação fundamentada, decidida de imediato pela Comissão.</w:t>
      </w:r>
    </w:p>
    <w:p>
      <w:pPr>
        <w:pStyle w:val="Heading2"/>
        <w:spacing w:after="100" w:before="260"/>
      </w:pPr>
      <w:r>
        <w:rPr>
          <w:b/>
          <w:bCs/>
          <w:color w:val="1A3A5F"/>
        </w:rPr>
        <w:t xml:space="preserve">Capítulo VI — Da votação e da apuração</w:t>
      </w:r>
    </w:p>
    <w:p>
      <w:pPr>
        <w:spacing w:after="120" w:line="276"/>
      </w:pPr>
      <w:r>
        <w:rPr>
          <w:b/>
          <w:bCs/>
          <w:color w:val="1A3A5F"/>
          <w:sz w:val="21"/>
          <w:szCs w:val="21"/>
        </w:rPr>
        <w:t xml:space="preserve">Art. 11 </w:t>
      </w:r>
      <w:r>
        <w:rPr>
          <w:color w:val="222222"/>
          <w:sz w:val="21"/>
          <w:szCs w:val="21"/>
        </w:rPr>
        <w:t xml:space="preserve">Cada empresa fundadora credenciada e habilitada terá direito a um voto, exercido por seu representante. Havendo chapa única homologada, a eleição dar-se-á por aclamação. Havendo mais de uma chapa, a votação será nominal e aberta, empresa a empresa, registrada na lista de votação.</w:t>
      </w:r>
    </w:p>
    <w:p>
      <w:pPr>
        <w:spacing w:after="120" w:line="276"/>
      </w:pPr>
      <w:r>
        <w:rPr>
          <w:b/>
          <w:bCs/>
          <w:color w:val="1A3A5F"/>
          <w:sz w:val="21"/>
          <w:szCs w:val="21"/>
        </w:rPr>
        <w:t xml:space="preserve">Art. 12 </w:t>
      </w:r>
      <w:r>
        <w:rPr>
          <w:color w:val="222222"/>
          <w:sz w:val="21"/>
          <w:szCs w:val="21"/>
        </w:rPr>
        <w:t xml:space="preserve">Será eleita a chapa que obtiver a maioria simples dos votos dos fundadores presentes e habilitados, na forma do Art. 80, IV do estatuto.</w:t>
      </w:r>
    </w:p>
    <w:p>
      <w:pPr>
        <w:spacing w:after="120" w:line="276"/>
      </w:pPr>
      <w:r>
        <w:rPr>
          <w:b/>
          <w:bCs/>
          <w:color w:val="1A3A5F"/>
          <w:sz w:val="21"/>
          <w:szCs w:val="21"/>
        </w:rPr>
        <w:t xml:space="preserve">Art. 13 </w:t>
      </w:r>
      <w:r>
        <w:rPr>
          <w:color w:val="222222"/>
          <w:sz w:val="21"/>
          <w:szCs w:val="21"/>
        </w:rPr>
        <w:t xml:space="preserve">A ata consignará o número de fundadores aptos a votar, o número de votantes, os votos por chapa, os votos em branco e nulos e o resultado, com a qualificação dos eleitos (nome, função, CPF, razão social e CNPJ da empresa representada, endereço e datas de início e término do mandato), nos termos do Art. 80, § 2º do estatuto.</w:t>
      </w:r>
    </w:p>
    <w:p>
      <w:pPr>
        <w:spacing w:after="120" w:line="276"/>
      </w:pPr>
      <w:r>
        <w:rPr>
          <w:b/>
          <w:bCs/>
          <w:color w:val="1A3A5F"/>
          <w:sz w:val="21"/>
          <w:szCs w:val="21"/>
        </w:rPr>
        <w:t xml:space="preserve">Art. 14 </w:t>
      </w:r>
      <w:r>
        <w:rPr>
          <w:color w:val="222222"/>
          <w:sz w:val="21"/>
          <w:szCs w:val="21"/>
        </w:rPr>
        <w:t xml:space="preserve">Observadores e participantes remotos não habilitados não votam, e suas manifestações pelo canal de transmissão não produzem efeito deliberativo, o que se consignará em ata.</w:t>
      </w:r>
    </w:p>
    <w:p>
      <w:pPr>
        <w:pBdr>
          <w:left w:val="single" w:color="C69A52" w:sz="18" w:space="8"/>
        </w:pBdr>
        <w:shd w:fill="F3F0E9" w:val="clear"/>
        <w:spacing w:after="140" w:before="60" w:line="264"/>
        <w:ind w:left="200"/>
      </w:pPr>
      <w:r>
        <w:rPr>
          <w:i/>
          <w:iCs/>
          <w:color w:val="4A5868"/>
          <w:sz w:val="19"/>
          <w:szCs w:val="19"/>
        </w:rPr>
        <w:t xml:space="preserve">O voto secreto previsto no Título VI do estatuto aplica-se às eleições ordinárias futuras. Para a fundação, o Art. 80 admite aclamação ou chapa, e adota-se aqui o voto nominal e aberto, que dá rastreabilidade aos elementos exigidos pelo MTE.</w:t>
      </w:r>
    </w:p>
    <w:p>
      <w:pPr>
        <w:pStyle w:val="Heading2"/>
        <w:spacing w:after="100" w:before="260"/>
      </w:pPr>
      <w:r>
        <w:rPr>
          <w:b/>
          <w:bCs/>
          <w:color w:val="1A3A5F"/>
        </w:rPr>
        <w:t xml:space="preserve">Capítulo VII — Das contingências e da posse</w:t>
      </w:r>
    </w:p>
    <w:p>
      <w:pPr>
        <w:spacing w:after="120" w:line="276"/>
      </w:pPr>
      <w:r>
        <w:rPr>
          <w:b/>
          <w:bCs/>
          <w:color w:val="1A3A5F"/>
          <w:sz w:val="21"/>
          <w:szCs w:val="21"/>
        </w:rPr>
        <w:t xml:space="preserve">Art. 15 </w:t>
      </w:r>
      <w:r>
        <w:rPr>
          <w:color w:val="222222"/>
          <w:sz w:val="21"/>
          <w:szCs w:val="21"/>
        </w:rPr>
        <w:t xml:space="preserve">Não havendo chapa válida registrada no prazo, ou vindo a chapa incompleta, aplica-se a janela do Art. 7º. Persistindo a ausência de chapa válida após a janela, adia-se exclusivamente a eleição, mantidas a fundação e a aprovação do estatuto. </w:t>
      </w:r>
      <w:r>
        <w:rPr>
          <w:i/>
          <w:iCs/>
          <w:color w:val="8A9098"/>
          <w:sz w:val="21"/>
          <w:szCs w:val="21"/>
        </w:rPr>
        <w:t xml:space="preserve">[fallback a confirmar com as advogadas]</w:t>
      </w:r>
    </w:p>
    <w:p>
      <w:pPr>
        <w:spacing w:after="120" w:line="276"/>
      </w:pPr>
      <w:r>
        <w:rPr>
          <w:b/>
          <w:bCs/>
          <w:color w:val="1A3A5F"/>
          <w:sz w:val="21"/>
          <w:szCs w:val="21"/>
        </w:rPr>
        <w:t xml:space="preserve">Art. 16 </w:t>
      </w:r>
      <w:r>
        <w:rPr>
          <w:color w:val="222222"/>
          <w:sz w:val="21"/>
          <w:szCs w:val="21"/>
        </w:rPr>
        <w:t xml:space="preserve">Os eleitos serão empossados na própria sessão, exercendo mandato até a primeira eleição ordinária (Arts. 80, V e 81 do estatuto).</w:t>
      </w:r>
    </w:p>
    <w:p>
      <w:r>
        <w:br w:type="page"/>
      </w:r>
    </w:p>
    <w:p>
      <w:pPr>
        <w:spacing w:after="40" w:before="120"/>
      </w:pPr>
      <w:r>
        <w:rPr>
          <w:b/>
          <w:bCs/>
          <w:color w:val="C69A52"/>
          <w:spacing w:val="40"/>
          <w:sz w:val="17"/>
          <w:szCs w:val="17"/>
        </w:rPr>
        <w:t xml:space="preserve">ANEXO</w:t>
      </w:r>
    </w:p>
    <w:p>
      <w:pPr>
        <w:pStyle w:val="Heading1"/>
        <w:spacing w:after="60" w:before="340"/>
      </w:pPr>
      <w:r>
        <w:rPr>
          <w:b/>
          <w:bCs/>
          <w:color w:val="1A3A5F"/>
        </w:rPr>
        <w:t xml:space="preserve">Ajustes propostos ao estatuto</w:t>
      </w:r>
    </w:p>
    <w:p>
      <w:pPr>
        <w:pBdr>
          <w:bottom w:val="single" w:color="C69A52" w:sz="16" w:space="1"/>
        </w:pBdr>
        <w:spacing w:after="200"/>
      </w:pPr>
      <w:r>
        <w:rPr>
          <w:sz w:val="2"/>
          <w:szCs w:val="2"/>
        </w:rPr>
        <w:t xml:space="preserve"/>
      </w:r>
    </w:p>
    <w:p>
      <w:pPr>
        <w:spacing w:after="120" w:line="276"/>
      </w:pPr>
      <w:r>
        <w:rPr>
          <w:color w:val="222222"/>
          <w:sz w:val="21"/>
          <w:szCs w:val="21"/>
        </w:rPr>
        <w:t xml:space="preserve">Dois ajustes a submeter à Rafaela e à Talita, decorrentes das decisões de hoje. Não são alterações deste regulamento, e sim do estatuto — devem ser deliberados na própria fundação, junto com a aprovação do estatuto.</w:t>
      </w:r>
    </w:p>
    <w:p>
      <w:pPr>
        <w:pStyle w:val="Heading2"/>
        <w:spacing w:after="100" w:before="260"/>
      </w:pPr>
      <w:r>
        <w:rPr>
          <w:b/>
          <w:bCs/>
          <w:color w:val="1A3A5F"/>
        </w:rPr>
        <w:t xml:space="preserve">1. Cargos de assessoria de livre nomeação (Conselheiro Institucional)</w:t>
      </w:r>
    </w:p>
    <w:p>
      <w:pPr>
        <w:spacing w:after="120" w:line="276"/>
      </w:pPr>
      <w:r>
        <w:rPr>
          <w:color w:val="222222"/>
          <w:sz w:val="21"/>
          <w:szCs w:val="21"/>
        </w:rPr>
        <w:t xml:space="preserve">Inserir parágrafo no Art. 25 (atribuições da Diretoria Executiva Nacional), com a seguinte redação proposta:</w:t>
      </w:r>
    </w:p>
    <w:p>
      <w:pPr>
        <w:pBdr>
          <w:left w:val="single" w:color="C69A52" w:sz="18" w:space="8"/>
        </w:pBdr>
        <w:shd w:fill="F3F0E9" w:val="clear"/>
        <w:spacing w:after="140" w:before="60" w:line="264"/>
        <w:ind w:left="200"/>
      </w:pPr>
      <w:r>
        <w:rPr>
          <w:color w:val="1A3A5F"/>
          <w:sz w:val="20"/>
          <w:szCs w:val="20"/>
        </w:rPr>
        <w:t xml:space="preserve">A Diretoria Executiva Nacional poderá criar e prover, por livre nomeação e a qualquer tempo, cargos de assessoria e funções de confiança não eletivos, sem mandato, sem direito a voto e sem poder deliberativo, inclusive o de Conselheiro Institucional, destinados a assessoramento técnico, jurídico, parlamentar e institucional. Seus ocupantes não precisam pertencer à categoria econômica, não integram a Diretoria nem o Conselho Fiscal, e são exoneráveis a qualquer tempo.</w:t>
      </w:r>
    </w:p>
    <w:p>
      <w:pPr>
        <w:spacing w:after="120" w:line="276"/>
      </w:pPr>
      <w:r>
        <w:rPr>
          <w:color w:val="4A5868"/>
          <w:sz w:val="20"/>
          <w:szCs w:val="20"/>
        </w:rPr>
        <w:t xml:space="preserve">Efeito: institucionaliza a frente parlamentar e acomoda o assessor como Conselheiro Institucional nomeado, sem violar o Art. 530 da CLT (não é cargo eletivo nem detém mandato) e sem expor a entidade a impugnação.</w:t>
      </w:r>
    </w:p>
    <w:p>
      <w:pPr>
        <w:pStyle w:val="Heading2"/>
        <w:spacing w:after="100" w:before="260"/>
      </w:pPr>
      <w:r>
        <w:rPr>
          <w:b/>
          <w:bCs/>
          <w:color w:val="1A3A5F"/>
        </w:rPr>
        <w:t xml:space="preserve">2. Dispensa do tempo de filiação para a eleição de fundação</w:t>
      </w:r>
    </w:p>
    <w:p>
      <w:pPr>
        <w:spacing w:after="120" w:line="276"/>
      </w:pPr>
      <w:r>
        <w:rPr>
          <w:color w:val="222222"/>
          <w:sz w:val="21"/>
          <w:szCs w:val="21"/>
        </w:rPr>
        <w:t xml:space="preserve">Incluir artigo nas Disposições Transitórias (sugestão: Art. 82-A), espelhando o Art. 82 já existente:</w:t>
      </w:r>
    </w:p>
    <w:p>
      <w:pPr>
        <w:pBdr>
          <w:left w:val="single" w:color="C69A52" w:sz="18" w:space="8"/>
        </w:pBdr>
        <w:shd w:fill="F3F0E9" w:val="clear"/>
        <w:spacing w:after="140" w:before="60" w:line="264"/>
        <w:ind w:left="200"/>
      </w:pPr>
      <w:r>
        <w:rPr>
          <w:color w:val="1A3A5F"/>
          <w:sz w:val="20"/>
          <w:szCs w:val="20"/>
        </w:rPr>
        <w:t xml:space="preserve">Exclusivamente para a eleição realizada na Assembleia Geral de Fundação, ficam dispensados os requisitos de tempo mínimo de filiação previstos no Art. 68, incisos I e II, sendo elegíveis os fundadores que comprovem o exercício efetivo da atividade econômica de correspondente bancário na base territorial e que não incorram nas vedações legais e estatutárias.</w:t>
      </w:r>
    </w:p>
    <w:p>
      <w:pPr>
        <w:spacing w:after="120" w:line="276"/>
      </w:pPr>
      <w:r>
        <w:rPr>
          <w:color w:val="4A5868"/>
          <w:sz w:val="20"/>
          <w:szCs w:val="20"/>
        </w:rPr>
        <w:t xml:space="preserve">Efeito: fecha a brecha de o Art. 68, II (um ano de filiação) ser usado para impugnar a eleição da primeira diretoria — impossível de cumprir numa entidade que nasce no mesmo ato.</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DFD4" w:sz="4" w:space="6"/>
      </w:pBdr>
      <w:tabs>
        <w:tab w:val="right" w:pos="9026"/>
      </w:tabs>
    </w:pPr>
    <w:r>
      <w:rPr>
        <w:color w:val="8A9098"/>
        <w:sz w:val="14"/>
        <w:szCs w:val="14"/>
      </w:rPr>
      <w:t xml:space="preserve">Documento de trabalho — validar juridicamente antes de uso</w:t>
    </w:r>
    <w:r>
      <w:rPr>
        <w:sz w:val="14"/>
        <w:szCs w:val="14"/>
      </w:rPr>
      <w:t xml:space="preserve">	</w:t>
    </w:r>
    <w:r>
      <w:rPr>
        <w:color w:val="8A9098"/>
        <w:sz w:val="14"/>
        <w:szCs w:val="14"/>
      </w:rPr>
      <w:t xml:space="preserve">Pág.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A9098"/>
        <w:spacing w:val="20"/>
        <w:sz w:val="15"/>
        <w:szCs w:val="15"/>
      </w:rPr>
      <w:t xml:space="preserve">SINDCOB · Comissão Pró-Fundação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320"/>
      <w:outlineLvl w:val="0"/>
    </w:pPr>
    <w:rPr>
      <w:rFonts w:ascii="Arial" w:cs="Arial" w:eastAsia="Arial" w:hAnsi="Arial"/>
      <w:b/>
      <w:bCs/>
      <w:color w:val="1A3A5F"/>
      <w:sz w:val="29"/>
      <w:szCs w:val="29"/>
    </w:rPr>
  </w:style>
  <w:style w:type="paragraph" w:styleId="Heading2">
    <w:name w:val="Heading 2"/>
    <w:basedOn w:val="Normal"/>
    <w:next w:val="Normal"/>
    <w:qFormat/>
    <w:pPr>
      <w:spacing w:after="100" w:before="260"/>
      <w:outlineLvl w:val="1"/>
    </w:pPr>
    <w:rPr>
      <w:rFonts w:ascii="Arial" w:cs="Arial" w:eastAsia="Arial" w:hAnsi="Arial"/>
      <w:b/>
      <w:bCs/>
      <w:color w:val="1A3A5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2026-06-01T12:07:37.170Z</dcterms:created>
  <dcterms:modified xsi:type="dcterms:W3CDTF">2026-06-01T12:07:37.185Z</dcterms:modified>
</cp:coreProperties>
</file>

<file path=docProps/custom.xml><?xml version="1.0" encoding="utf-8"?>
<Properties xmlns="http://schemas.openxmlformats.org/officeDocument/2006/custom-properties" xmlns:vt="http://schemas.openxmlformats.org/officeDocument/2006/docPropsVTypes"/>
</file>